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1C" w:rsidRDefault="00EB7B1C"/>
    <w:p w:rsidR="00105AFC" w:rsidRDefault="00105AFC"/>
    <w:p w:rsidR="00105AFC" w:rsidRDefault="00105AFC"/>
    <w:p w:rsidR="00105AFC" w:rsidRDefault="00105AFC" w:rsidP="00105AFC">
      <w:pPr>
        <w:shd w:val="clear" w:color="auto" w:fill="FFFFFF"/>
        <w:spacing w:after="150" w:line="60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47"/>
          <w:szCs w:val="47"/>
          <w:lang w:val="en-US" w:eastAsia="es-ES"/>
        </w:rPr>
      </w:pPr>
      <w:r w:rsidRPr="00A532C5">
        <w:rPr>
          <w:rFonts w:ascii="Helvetica" w:eastAsia="Times New Roman" w:hAnsi="Helvetica" w:cs="Helvetica"/>
          <w:color w:val="333333"/>
          <w:sz w:val="47"/>
          <w:szCs w:val="47"/>
          <w:lang w:val="en-US" w:eastAsia="es-ES"/>
        </w:rPr>
        <w:t>186 Flux-Pen®</w:t>
      </w:r>
    </w:p>
    <w:p w:rsidR="00A532C5" w:rsidRDefault="00A532C5" w:rsidP="00105AFC">
      <w:pPr>
        <w:shd w:val="clear" w:color="auto" w:fill="FFFFFF"/>
        <w:spacing w:after="150" w:line="60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47"/>
          <w:szCs w:val="47"/>
          <w:lang w:val="en-US" w:eastAsia="es-ES"/>
        </w:rPr>
      </w:pPr>
    </w:p>
    <w:p w:rsidR="00A532C5" w:rsidRDefault="00A532C5" w:rsidP="00105AFC">
      <w:pPr>
        <w:shd w:val="clear" w:color="auto" w:fill="FFFFFF"/>
        <w:spacing w:after="150" w:line="60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47"/>
          <w:szCs w:val="47"/>
          <w:lang w:val="en-US" w:eastAsia="es-ES"/>
        </w:rPr>
      </w:pPr>
      <w:r>
        <w:rPr>
          <w:noProof/>
          <w:lang w:eastAsia="es-ES"/>
        </w:rPr>
        <w:drawing>
          <wp:inline distT="0" distB="0" distL="0" distR="0">
            <wp:extent cx="2781300" cy="2781300"/>
            <wp:effectExtent l="19050" t="0" r="0" b="0"/>
            <wp:docPr id="3" name="Imagen 1" descr="D:\DATA SHEETS\MOUSER\488CH0186 533-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SHEETS\MOUSER\488CH0186 533-01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972" cy="278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proofErr w:type="spellStart"/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Kester</w:t>
      </w:r>
      <w:proofErr w:type="spellEnd"/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 xml:space="preserve"> 186 Flux-</w:t>
      </w:r>
      <w:proofErr w:type="spellStart"/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Pen</w:t>
      </w:r>
      <w:proofErr w:type="spellEnd"/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® está diseñado específicamente para la reelaboración sin plomo y sin plomo de los conjuntos de placas de circuito convencionales y de montaje en superficie.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186 bajo MIL-F-14256, fue QPL aprobado como Tipo RMA. Aunque la capacidad de flujo se aproxima a la del flujo de Tipo RA, los residuos después de la soldadura son no corrosivos y no conductores.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186 ha sido desarrollado para su uso en aplicaciones críticas donde se deben soldar ensambles difíciles, pero los requisitos del proceso estipulan el uso del flujo de tipo RMA.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186 posee una alta estabilidad térmica para soldar conjuntos multicapa que requieren temperaturas más altas. La exposición a altas temperaturas de precalentamiento no degrada la solubilidad del residuo en disolventes de limpieza normales.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No hay degradación de la resistencia de aislamiento superficial causada por el residuo del flujo.</w:t>
      </w:r>
    </w:p>
    <w:p w:rsidR="005E6ED5" w:rsidRPr="005E6ED5" w:rsidRDefault="005E6ED5" w:rsidP="005E6ED5">
      <w:pPr>
        <w:pStyle w:val="Prrafodelista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El uso de un mínimo de agentes activadores iónicos y la naturaleza inactiva del residuo permite dejar el residuo en conjuntos de placas de circuitos para muchas aplicaciones.</w:t>
      </w:r>
    </w:p>
    <w:p w:rsidR="00105AFC" w:rsidRPr="005E6ED5" w:rsidRDefault="005E6ED5" w:rsidP="005E6ED5">
      <w:pPr>
        <w:pStyle w:val="Prrafodelista"/>
        <w:numPr>
          <w:ilvl w:val="0"/>
          <w:numId w:val="1"/>
        </w:numPr>
      </w:pPr>
      <w:r w:rsidRPr="005E6ED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es-ES"/>
        </w:rPr>
        <w:t>El residuo de flujo también es resistente a la humedad y hongos.</w:t>
      </w:r>
    </w:p>
    <w:sectPr w:rsidR="00105AFC" w:rsidRPr="005E6ED5" w:rsidSect="00A53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78D6"/>
    <w:multiLevelType w:val="hybridMultilevel"/>
    <w:tmpl w:val="DBDAF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5AFC"/>
    <w:rsid w:val="000C307D"/>
    <w:rsid w:val="00105AFC"/>
    <w:rsid w:val="005E6ED5"/>
    <w:rsid w:val="00A532C5"/>
    <w:rsid w:val="00BA2908"/>
    <w:rsid w:val="00EB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1C"/>
  </w:style>
  <w:style w:type="paragraph" w:styleId="Ttulo2">
    <w:name w:val="heading 2"/>
    <w:basedOn w:val="Normal"/>
    <w:link w:val="Ttulo2Car"/>
    <w:uiPriority w:val="9"/>
    <w:qFormat/>
    <w:rsid w:val="00105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5AF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2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3</cp:revision>
  <dcterms:created xsi:type="dcterms:W3CDTF">2017-10-10T23:44:00Z</dcterms:created>
  <dcterms:modified xsi:type="dcterms:W3CDTF">2017-10-10T23:57:00Z</dcterms:modified>
</cp:coreProperties>
</file>