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460C" w14:textId="77777777" w:rsidR="0069490B" w:rsidRPr="0069490B" w:rsidRDefault="0069490B" w:rsidP="0069490B">
      <w:pPr>
        <w:jc w:val="center"/>
        <w:rPr>
          <w:b/>
          <w:bCs/>
        </w:rPr>
      </w:pPr>
      <w:r w:rsidRPr="0069490B">
        <w:rPr>
          <w:b/>
          <w:bCs/>
        </w:rPr>
        <w:t>FICHA TÉCNICA</w:t>
      </w:r>
    </w:p>
    <w:p w14:paraId="2229F508" w14:textId="77777777" w:rsidR="0069490B" w:rsidRDefault="0069490B" w:rsidP="0069490B">
      <w:pPr>
        <w:jc w:val="center"/>
        <w:rPr>
          <w:b/>
          <w:bCs/>
        </w:rPr>
      </w:pPr>
      <w:r w:rsidRPr="0069490B">
        <w:rPr>
          <w:b/>
          <w:bCs/>
        </w:rPr>
        <w:t>Adaptador de Conector EV Tipo 1 a NACS</w:t>
      </w:r>
    </w:p>
    <w:p w14:paraId="5874809C" w14:textId="77777777" w:rsidR="0069490B" w:rsidRDefault="0069490B" w:rsidP="0069490B">
      <w:pPr>
        <w:rPr>
          <w:b/>
          <w:bCs/>
        </w:rPr>
      </w:pPr>
    </w:p>
    <w:p w14:paraId="52647124" w14:textId="18B56F5E" w:rsidR="0069490B" w:rsidRPr="0069490B" w:rsidRDefault="0069490B" w:rsidP="0069490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37E30B5" wp14:editId="1B1F5524">
            <wp:extent cx="4109944" cy="3005671"/>
            <wp:effectExtent l="0" t="0" r="5080" b="4445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4F7B50A6-DA0E-C89D-679F-24FBF53AB1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4F7B50A6-DA0E-C89D-679F-24FBF53AB1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9944" cy="300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9F000" w14:textId="77777777" w:rsidR="0069490B" w:rsidRPr="0069490B" w:rsidRDefault="0069490B" w:rsidP="0069490B">
      <w:r w:rsidRPr="0069490B">
        <w:pict w14:anchorId="7F2EC3CD">
          <v:rect id="_x0000_i1160" style="width:0;height:1.5pt" o:hralign="center" o:hrstd="t" o:hr="t" fillcolor="#a0a0a0" stroked="f"/>
        </w:pict>
      </w:r>
    </w:p>
    <w:p w14:paraId="1868FD67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Descripción General</w:t>
      </w:r>
    </w:p>
    <w:p w14:paraId="0ECE2440" w14:textId="77777777" w:rsidR="0069490B" w:rsidRPr="0069490B" w:rsidRDefault="0069490B" w:rsidP="0069490B">
      <w:r w:rsidRPr="0069490B">
        <w:t>Adaptador que permite la conexión de vehículos eléctricos con entrada Tipo 1 (SAE J1772) a estaciones de carga con conector NACS (North American Charging Standard), facilitando la interoperabilidad entre estándares.</w:t>
      </w:r>
    </w:p>
    <w:p w14:paraId="155157D6" w14:textId="77777777" w:rsidR="0069490B" w:rsidRPr="0069490B" w:rsidRDefault="0069490B" w:rsidP="0069490B">
      <w:r w:rsidRPr="0069490B">
        <w:pict w14:anchorId="401A8C61">
          <v:rect id="_x0000_i1161" style="width:0;height:1.5pt" o:hralign="center" o:hrstd="t" o:hr="t" fillcolor="#a0a0a0" stroked="f"/>
        </w:pict>
      </w:r>
    </w:p>
    <w:p w14:paraId="6CA36323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Tipo de Conector</w:t>
      </w:r>
    </w:p>
    <w:p w14:paraId="531F30F9" w14:textId="77777777" w:rsidR="0069490B" w:rsidRPr="0069490B" w:rsidRDefault="0069490B" w:rsidP="0069490B">
      <w:pPr>
        <w:numPr>
          <w:ilvl w:val="0"/>
          <w:numId w:val="9"/>
        </w:numPr>
      </w:pPr>
      <w:r w:rsidRPr="0069490B">
        <w:rPr>
          <w:b/>
          <w:bCs/>
        </w:rPr>
        <w:t>Entrada (vehículo):</w:t>
      </w:r>
      <w:r w:rsidRPr="0069490B">
        <w:t xml:space="preserve"> Tipo 1 (SAE J1772) </w:t>
      </w:r>
    </w:p>
    <w:p w14:paraId="6EA692A7" w14:textId="77777777" w:rsidR="0069490B" w:rsidRPr="0069490B" w:rsidRDefault="0069490B" w:rsidP="0069490B">
      <w:pPr>
        <w:numPr>
          <w:ilvl w:val="0"/>
          <w:numId w:val="9"/>
        </w:numPr>
      </w:pPr>
      <w:r w:rsidRPr="0069490B">
        <w:rPr>
          <w:b/>
          <w:bCs/>
        </w:rPr>
        <w:t>Salida (cargador):</w:t>
      </w:r>
      <w:r w:rsidRPr="0069490B">
        <w:t xml:space="preserve"> NACS </w:t>
      </w:r>
    </w:p>
    <w:p w14:paraId="0754F47A" w14:textId="77777777" w:rsidR="0069490B" w:rsidRPr="0069490B" w:rsidRDefault="0069490B" w:rsidP="0069490B">
      <w:r w:rsidRPr="0069490B">
        <w:pict w14:anchorId="55883749">
          <v:rect id="_x0000_i1162" style="width:0;height:1.5pt" o:hralign="center" o:hrstd="t" o:hr="t" fillcolor="#a0a0a0" stroked="f"/>
        </w:pict>
      </w:r>
    </w:p>
    <w:p w14:paraId="61339DB2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Características Eléctricas</w:t>
      </w:r>
    </w:p>
    <w:p w14:paraId="1435AA68" w14:textId="77777777" w:rsidR="0069490B" w:rsidRPr="0069490B" w:rsidRDefault="0069490B" w:rsidP="0069490B">
      <w:pPr>
        <w:numPr>
          <w:ilvl w:val="0"/>
          <w:numId w:val="10"/>
        </w:numPr>
      </w:pPr>
      <w:r w:rsidRPr="0069490B">
        <w:rPr>
          <w:b/>
          <w:bCs/>
        </w:rPr>
        <w:t>Potencia máxima:</w:t>
      </w:r>
      <w:r w:rsidRPr="0069490B">
        <w:t xml:space="preserve"> 7 kW </w:t>
      </w:r>
    </w:p>
    <w:p w14:paraId="69D70B1B" w14:textId="77777777" w:rsidR="0069490B" w:rsidRPr="0069490B" w:rsidRDefault="0069490B" w:rsidP="0069490B">
      <w:pPr>
        <w:numPr>
          <w:ilvl w:val="0"/>
          <w:numId w:val="10"/>
        </w:numPr>
      </w:pPr>
      <w:r w:rsidRPr="0069490B">
        <w:rPr>
          <w:b/>
          <w:bCs/>
        </w:rPr>
        <w:t>Corriente máxima:</w:t>
      </w:r>
      <w:r w:rsidRPr="0069490B">
        <w:t xml:space="preserve"> 32 A </w:t>
      </w:r>
    </w:p>
    <w:p w14:paraId="79D1F4E7" w14:textId="77777777" w:rsidR="0069490B" w:rsidRPr="0069490B" w:rsidRDefault="0069490B" w:rsidP="0069490B">
      <w:pPr>
        <w:numPr>
          <w:ilvl w:val="0"/>
          <w:numId w:val="10"/>
        </w:numPr>
      </w:pPr>
      <w:r w:rsidRPr="0069490B">
        <w:rPr>
          <w:b/>
          <w:bCs/>
        </w:rPr>
        <w:t>Voltaje nominal:</w:t>
      </w:r>
      <w:r w:rsidRPr="0069490B">
        <w:t xml:space="preserve"> 220 V (AC) </w:t>
      </w:r>
    </w:p>
    <w:p w14:paraId="06AD49EB" w14:textId="77777777" w:rsidR="0069490B" w:rsidRPr="0069490B" w:rsidRDefault="0069490B" w:rsidP="0069490B">
      <w:pPr>
        <w:numPr>
          <w:ilvl w:val="0"/>
          <w:numId w:val="10"/>
        </w:numPr>
      </w:pPr>
      <w:r w:rsidRPr="0069490B">
        <w:rPr>
          <w:b/>
          <w:bCs/>
        </w:rPr>
        <w:t>Tipo de carga:</w:t>
      </w:r>
      <w:r w:rsidRPr="0069490B">
        <w:t xml:space="preserve"> Monofásica </w:t>
      </w:r>
    </w:p>
    <w:p w14:paraId="40F9638F" w14:textId="77777777" w:rsidR="0069490B" w:rsidRPr="0069490B" w:rsidRDefault="0069490B" w:rsidP="0069490B">
      <w:r w:rsidRPr="0069490B">
        <w:lastRenderedPageBreak/>
        <w:pict w14:anchorId="65BDC163">
          <v:rect id="_x0000_i1163" style="width:0;height:1.5pt" o:hralign="center" o:hrstd="t" o:hr="t" fillcolor="#a0a0a0" stroked="f"/>
        </w:pict>
      </w:r>
    </w:p>
    <w:p w14:paraId="3A6D3EB7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Materiales</w:t>
      </w:r>
    </w:p>
    <w:p w14:paraId="0C0BBD30" w14:textId="77777777" w:rsidR="0069490B" w:rsidRPr="0069490B" w:rsidRDefault="0069490B" w:rsidP="0069490B">
      <w:pPr>
        <w:numPr>
          <w:ilvl w:val="0"/>
          <w:numId w:val="11"/>
        </w:numPr>
      </w:pPr>
      <w:r w:rsidRPr="0069490B">
        <w:rPr>
          <w:b/>
          <w:bCs/>
        </w:rPr>
        <w:t>Carcasa:</w:t>
      </w:r>
      <w:r w:rsidRPr="0069490B">
        <w:t xml:space="preserve"> Plástico de alta resistencia </w:t>
      </w:r>
    </w:p>
    <w:p w14:paraId="39659196" w14:textId="77777777" w:rsidR="0069490B" w:rsidRPr="0069490B" w:rsidRDefault="0069490B" w:rsidP="0069490B">
      <w:pPr>
        <w:numPr>
          <w:ilvl w:val="0"/>
          <w:numId w:val="11"/>
        </w:numPr>
      </w:pPr>
      <w:r w:rsidRPr="0069490B">
        <w:rPr>
          <w:b/>
          <w:bCs/>
        </w:rPr>
        <w:t>Contactos:</w:t>
      </w:r>
      <w:r w:rsidRPr="0069490B">
        <w:t xml:space="preserve"> Aleación conductora con recubrimiento anticorrosivo </w:t>
      </w:r>
    </w:p>
    <w:p w14:paraId="088EF559" w14:textId="77777777" w:rsidR="0069490B" w:rsidRPr="0069490B" w:rsidRDefault="0069490B" w:rsidP="0069490B">
      <w:r w:rsidRPr="0069490B">
        <w:pict w14:anchorId="3BB0D2F3">
          <v:rect id="_x0000_i1164" style="width:0;height:1.5pt" o:hralign="center" o:hrstd="t" o:hr="t" fillcolor="#a0a0a0" stroked="f"/>
        </w:pict>
      </w:r>
    </w:p>
    <w:p w14:paraId="6F67003E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Características Físicas</w:t>
      </w:r>
    </w:p>
    <w:p w14:paraId="5D812B1B" w14:textId="77777777" w:rsidR="0069490B" w:rsidRPr="0069490B" w:rsidRDefault="0069490B" w:rsidP="0069490B">
      <w:pPr>
        <w:numPr>
          <w:ilvl w:val="0"/>
          <w:numId w:val="12"/>
        </w:numPr>
      </w:pPr>
      <w:r w:rsidRPr="0069490B">
        <w:t xml:space="preserve">Diseño compacto y portátil </w:t>
      </w:r>
    </w:p>
    <w:p w14:paraId="3F5F89E5" w14:textId="77777777" w:rsidR="0069490B" w:rsidRPr="0069490B" w:rsidRDefault="0069490B" w:rsidP="0069490B">
      <w:pPr>
        <w:numPr>
          <w:ilvl w:val="0"/>
          <w:numId w:val="12"/>
        </w:numPr>
      </w:pPr>
      <w:r w:rsidRPr="0069490B">
        <w:t xml:space="preserve">Construcción robusta para uso continuo </w:t>
      </w:r>
    </w:p>
    <w:p w14:paraId="4F39DCEC" w14:textId="77777777" w:rsidR="0069490B" w:rsidRPr="0069490B" w:rsidRDefault="0069490B" w:rsidP="0069490B">
      <w:pPr>
        <w:numPr>
          <w:ilvl w:val="0"/>
          <w:numId w:val="12"/>
        </w:numPr>
      </w:pPr>
      <w:r w:rsidRPr="0069490B">
        <w:t xml:space="preserve">Fácil manejo y conexión </w:t>
      </w:r>
    </w:p>
    <w:p w14:paraId="79DD358E" w14:textId="77777777" w:rsidR="0069490B" w:rsidRPr="0069490B" w:rsidRDefault="0069490B" w:rsidP="0069490B">
      <w:r w:rsidRPr="0069490B">
        <w:pict w14:anchorId="099981E8">
          <v:rect id="_x0000_i1165" style="width:0;height:1.5pt" o:hralign="center" o:hrstd="t" o:hr="t" fillcolor="#a0a0a0" stroked="f"/>
        </w:pict>
      </w:r>
    </w:p>
    <w:p w14:paraId="365C7109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Seguridad</w:t>
      </w:r>
    </w:p>
    <w:p w14:paraId="13694834" w14:textId="77777777" w:rsidR="0069490B" w:rsidRPr="0069490B" w:rsidRDefault="0069490B" w:rsidP="0069490B">
      <w:pPr>
        <w:numPr>
          <w:ilvl w:val="0"/>
          <w:numId w:val="13"/>
        </w:numPr>
      </w:pPr>
      <w:r w:rsidRPr="0069490B">
        <w:t xml:space="preserve">Aislamiento eléctrico </w:t>
      </w:r>
    </w:p>
    <w:p w14:paraId="4903B5E0" w14:textId="77777777" w:rsidR="0069490B" w:rsidRPr="0069490B" w:rsidRDefault="0069490B" w:rsidP="0069490B">
      <w:pPr>
        <w:numPr>
          <w:ilvl w:val="0"/>
          <w:numId w:val="13"/>
        </w:numPr>
      </w:pPr>
      <w:r w:rsidRPr="0069490B">
        <w:t xml:space="preserve">Diseño resistente a temperatura </w:t>
      </w:r>
    </w:p>
    <w:p w14:paraId="2E653B0D" w14:textId="77777777" w:rsidR="0069490B" w:rsidRPr="0069490B" w:rsidRDefault="0069490B" w:rsidP="0069490B">
      <w:pPr>
        <w:numPr>
          <w:ilvl w:val="0"/>
          <w:numId w:val="13"/>
        </w:numPr>
      </w:pPr>
      <w:r w:rsidRPr="0069490B">
        <w:t xml:space="preserve">Cumple con estándares de conexión EV </w:t>
      </w:r>
    </w:p>
    <w:p w14:paraId="7C97320B" w14:textId="77777777" w:rsidR="0069490B" w:rsidRPr="0069490B" w:rsidRDefault="0069490B" w:rsidP="0069490B">
      <w:r w:rsidRPr="0069490B">
        <w:pict w14:anchorId="61195BA6">
          <v:rect id="_x0000_i1166" style="width:0;height:1.5pt" o:hralign="center" o:hrstd="t" o:hr="t" fillcolor="#a0a0a0" stroked="f"/>
        </w:pict>
      </w:r>
    </w:p>
    <w:p w14:paraId="4F67C568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Condiciones de Operación</w:t>
      </w:r>
    </w:p>
    <w:p w14:paraId="5B0D18E5" w14:textId="77777777" w:rsidR="0069490B" w:rsidRPr="0069490B" w:rsidRDefault="0069490B" w:rsidP="0069490B">
      <w:pPr>
        <w:numPr>
          <w:ilvl w:val="0"/>
          <w:numId w:val="14"/>
        </w:numPr>
      </w:pPr>
      <w:r w:rsidRPr="0069490B">
        <w:t xml:space="preserve">Uso interior y exterior </w:t>
      </w:r>
    </w:p>
    <w:p w14:paraId="2080FB89" w14:textId="77777777" w:rsidR="0069490B" w:rsidRPr="0069490B" w:rsidRDefault="0069490B" w:rsidP="0069490B">
      <w:pPr>
        <w:numPr>
          <w:ilvl w:val="0"/>
          <w:numId w:val="14"/>
        </w:numPr>
      </w:pPr>
      <w:r w:rsidRPr="0069490B">
        <w:t xml:space="preserve">Resistencia a humedad y temperatura moderada </w:t>
      </w:r>
    </w:p>
    <w:p w14:paraId="0F3E714B" w14:textId="77777777" w:rsidR="0069490B" w:rsidRPr="0069490B" w:rsidRDefault="0069490B" w:rsidP="0069490B">
      <w:r w:rsidRPr="0069490B">
        <w:pict w14:anchorId="24DDDC41">
          <v:rect id="_x0000_i1167" style="width:0;height:1.5pt" o:hralign="center" o:hrstd="t" o:hr="t" fillcolor="#a0a0a0" stroked="f"/>
        </w:pict>
      </w:r>
    </w:p>
    <w:p w14:paraId="698CF866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Aplicaciones</w:t>
      </w:r>
    </w:p>
    <w:p w14:paraId="60225D0F" w14:textId="77777777" w:rsidR="0069490B" w:rsidRPr="0069490B" w:rsidRDefault="0069490B" w:rsidP="0069490B">
      <w:pPr>
        <w:numPr>
          <w:ilvl w:val="0"/>
          <w:numId w:val="15"/>
        </w:numPr>
      </w:pPr>
      <w:r w:rsidRPr="0069490B">
        <w:t xml:space="preserve">Vehículos Tipo 1 con acceso a infraestructura NACS </w:t>
      </w:r>
    </w:p>
    <w:p w14:paraId="2158F9E5" w14:textId="77777777" w:rsidR="0069490B" w:rsidRPr="0069490B" w:rsidRDefault="0069490B" w:rsidP="0069490B">
      <w:pPr>
        <w:numPr>
          <w:ilvl w:val="0"/>
          <w:numId w:val="15"/>
        </w:numPr>
      </w:pPr>
      <w:r w:rsidRPr="0069490B">
        <w:t xml:space="preserve">Estaciones de carga modernas </w:t>
      </w:r>
    </w:p>
    <w:p w14:paraId="6D7779D1" w14:textId="77777777" w:rsidR="0069490B" w:rsidRPr="0069490B" w:rsidRDefault="0069490B" w:rsidP="0069490B">
      <w:pPr>
        <w:numPr>
          <w:ilvl w:val="0"/>
          <w:numId w:val="15"/>
        </w:numPr>
      </w:pPr>
      <w:r w:rsidRPr="0069490B">
        <w:t xml:space="preserve">Adaptación entre estándares emergentes </w:t>
      </w:r>
    </w:p>
    <w:p w14:paraId="1B892689" w14:textId="77777777" w:rsidR="0069490B" w:rsidRPr="0069490B" w:rsidRDefault="0069490B" w:rsidP="0069490B">
      <w:r w:rsidRPr="0069490B">
        <w:pict w14:anchorId="6E576122">
          <v:rect id="_x0000_i1168" style="width:0;height:1.5pt" o:hralign="center" o:hrstd="t" o:hr="t" fillcolor="#a0a0a0" stroked="f"/>
        </w:pict>
      </w:r>
    </w:p>
    <w:p w14:paraId="779826EA" w14:textId="77777777" w:rsidR="0069490B" w:rsidRPr="0069490B" w:rsidRDefault="0069490B" w:rsidP="0069490B">
      <w:pPr>
        <w:rPr>
          <w:b/>
          <w:bCs/>
        </w:rPr>
      </w:pPr>
      <w:r w:rsidRPr="0069490B">
        <w:rPr>
          <w:rFonts w:ascii="Segoe UI Emoji" w:hAnsi="Segoe UI Emoji" w:cs="Segoe UI Emoji"/>
          <w:b/>
          <w:bCs/>
        </w:rPr>
        <w:t>🔹</w:t>
      </w:r>
      <w:r w:rsidRPr="0069490B">
        <w:rPr>
          <w:b/>
          <w:bCs/>
        </w:rPr>
        <w:t xml:space="preserve"> Ventajas</w:t>
      </w:r>
    </w:p>
    <w:p w14:paraId="2319D459" w14:textId="77777777" w:rsidR="0069490B" w:rsidRPr="0069490B" w:rsidRDefault="0069490B" w:rsidP="0069490B">
      <w:pPr>
        <w:numPr>
          <w:ilvl w:val="0"/>
          <w:numId w:val="16"/>
        </w:numPr>
      </w:pPr>
      <w:r w:rsidRPr="0069490B">
        <w:t xml:space="preserve">Permite compatibilidad con red NACS </w:t>
      </w:r>
    </w:p>
    <w:p w14:paraId="30F41F31" w14:textId="77777777" w:rsidR="0069490B" w:rsidRPr="0069490B" w:rsidRDefault="0069490B" w:rsidP="0069490B">
      <w:pPr>
        <w:numPr>
          <w:ilvl w:val="0"/>
          <w:numId w:val="16"/>
        </w:numPr>
      </w:pPr>
      <w:r w:rsidRPr="0069490B">
        <w:t xml:space="preserve">Solución práctica y portátil </w:t>
      </w:r>
    </w:p>
    <w:p w14:paraId="0CB083FA" w14:textId="1FD5A138" w:rsidR="00B37F51" w:rsidRDefault="0069490B" w:rsidP="0069490B">
      <w:pPr>
        <w:numPr>
          <w:ilvl w:val="0"/>
          <w:numId w:val="16"/>
        </w:numPr>
      </w:pPr>
      <w:r w:rsidRPr="0069490B">
        <w:t>Instalación inmediata sin herramientas</w:t>
      </w:r>
    </w:p>
    <w:sectPr w:rsidR="00B37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32B"/>
    <w:multiLevelType w:val="multilevel"/>
    <w:tmpl w:val="AE18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12B"/>
    <w:multiLevelType w:val="multilevel"/>
    <w:tmpl w:val="70A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36081"/>
    <w:multiLevelType w:val="multilevel"/>
    <w:tmpl w:val="036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85264"/>
    <w:multiLevelType w:val="multilevel"/>
    <w:tmpl w:val="2EB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A4321"/>
    <w:multiLevelType w:val="multilevel"/>
    <w:tmpl w:val="1DD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B3CBA"/>
    <w:multiLevelType w:val="multilevel"/>
    <w:tmpl w:val="B62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8499B"/>
    <w:multiLevelType w:val="multilevel"/>
    <w:tmpl w:val="04CA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2385D"/>
    <w:multiLevelType w:val="multilevel"/>
    <w:tmpl w:val="2C62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C5DE9"/>
    <w:multiLevelType w:val="multilevel"/>
    <w:tmpl w:val="DE8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E6588"/>
    <w:multiLevelType w:val="multilevel"/>
    <w:tmpl w:val="B2CC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D6234"/>
    <w:multiLevelType w:val="multilevel"/>
    <w:tmpl w:val="61C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17539"/>
    <w:multiLevelType w:val="multilevel"/>
    <w:tmpl w:val="DFC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85AB0"/>
    <w:multiLevelType w:val="multilevel"/>
    <w:tmpl w:val="C956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45F9E"/>
    <w:multiLevelType w:val="multilevel"/>
    <w:tmpl w:val="1CA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23385"/>
    <w:multiLevelType w:val="multilevel"/>
    <w:tmpl w:val="6F2C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B17BEC"/>
    <w:multiLevelType w:val="multilevel"/>
    <w:tmpl w:val="AF48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31931">
    <w:abstractNumId w:val="1"/>
  </w:num>
  <w:num w:numId="2" w16cid:durableId="1270428726">
    <w:abstractNumId w:val="9"/>
  </w:num>
  <w:num w:numId="3" w16cid:durableId="16661313">
    <w:abstractNumId w:val="11"/>
  </w:num>
  <w:num w:numId="4" w16cid:durableId="616765309">
    <w:abstractNumId w:val="13"/>
  </w:num>
  <w:num w:numId="5" w16cid:durableId="1184980050">
    <w:abstractNumId w:val="10"/>
  </w:num>
  <w:num w:numId="6" w16cid:durableId="1365449262">
    <w:abstractNumId w:val="5"/>
  </w:num>
  <w:num w:numId="7" w16cid:durableId="1816212796">
    <w:abstractNumId w:val="2"/>
  </w:num>
  <w:num w:numId="8" w16cid:durableId="1216045488">
    <w:abstractNumId w:val="14"/>
  </w:num>
  <w:num w:numId="9" w16cid:durableId="627516196">
    <w:abstractNumId w:val="3"/>
  </w:num>
  <w:num w:numId="10" w16cid:durableId="1291521358">
    <w:abstractNumId w:val="12"/>
  </w:num>
  <w:num w:numId="11" w16cid:durableId="1557274356">
    <w:abstractNumId w:val="6"/>
  </w:num>
  <w:num w:numId="12" w16cid:durableId="788083778">
    <w:abstractNumId w:val="7"/>
  </w:num>
  <w:num w:numId="13" w16cid:durableId="1735351940">
    <w:abstractNumId w:val="15"/>
  </w:num>
  <w:num w:numId="14" w16cid:durableId="1662535878">
    <w:abstractNumId w:val="8"/>
  </w:num>
  <w:num w:numId="15" w16cid:durableId="864632842">
    <w:abstractNumId w:val="4"/>
  </w:num>
  <w:num w:numId="16" w16cid:durableId="175114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1"/>
    <w:rsid w:val="00664186"/>
    <w:rsid w:val="0069490B"/>
    <w:rsid w:val="008375EF"/>
    <w:rsid w:val="009F2187"/>
    <w:rsid w:val="00A6091F"/>
    <w:rsid w:val="00B37F51"/>
    <w:rsid w:val="00C83885"/>
    <w:rsid w:val="00CF0D08"/>
    <w:rsid w:val="00CF6C64"/>
    <w:rsid w:val="00F2313E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D295"/>
  <w15:chartTrackingRefBased/>
  <w15:docId w15:val="{F6158DDF-7FDA-4B9E-AB92-ED7B941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3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F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F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F51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F51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F51"/>
    <w:rPr>
      <w:rFonts w:eastAsiaTheme="majorEastAsia" w:cstheme="majorBidi"/>
      <w:color w:val="0F4761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F51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F51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F51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F51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B3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F51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7F51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B3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7F51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B37F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7F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F51"/>
    <w:rPr>
      <w:i/>
      <w:iCs/>
      <w:color w:val="0F4761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B37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Energía</dc:creator>
  <cp:keywords/>
  <dc:description/>
  <cp:lastModifiedBy>Energía</cp:lastModifiedBy>
  <cp:revision>2</cp:revision>
  <dcterms:created xsi:type="dcterms:W3CDTF">2026-04-08T23:00:00Z</dcterms:created>
  <dcterms:modified xsi:type="dcterms:W3CDTF">2026-04-08T23:00:00Z</dcterms:modified>
</cp:coreProperties>
</file>